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3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57"/>
        <w:gridCol w:w="940"/>
        <w:gridCol w:w="441"/>
        <w:gridCol w:w="5280"/>
        <w:gridCol w:w="1233"/>
        <w:gridCol w:w="6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工程招标代理服务供应商评分表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项目名称：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项目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满分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要求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评分标准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得分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合规性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人员出现廉洁问题或泄密现象。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发生任何一项，解除合同，追究违约责任。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违规编制招标文件。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投标过程中提供虚假佐证材料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人员情况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．人员未及时到位提供服务的。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．人员不固定，更换频繁的。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专业人员配备不足，影响工作开展的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．人员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次或以上联络不上或不到现场的。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次扣4分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．人员业务能力不合格，不具备独立解决问题的能力的。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工作响应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．不能按时参加采购人组织的各类专题会议。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．逾期交付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阶段性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成果的。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．工作不积极、主动，不接受采购人及客户的批评、指导的。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．推诿采购人的任务委托，不接受采购人的工作安排的。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．人员配合不积极，工作态度不认真，出现问题不能及时整改的。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业务操作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招标文件编制能力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．招标文件编制内容有漏洞有瑕疵。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对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招标文件主要内容有隐瞒的。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．招标文件第四章合同内容未与采购人沟通就填写的。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．招标文件编制内容未按采购人要求编制的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违规除外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．招标文件在送审行政主管部门审核后，修改后仍审不过的。</w:t>
            </w: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政策法规解读能力</w:t>
            </w: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对政策文件解读有误的。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对已发生错误未予以纠正的。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各阶段的交流、交涉能力</w:t>
            </w: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与行政监督部门交流、交涉不畅的，影响正常招标流程的。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与交易中心交流、交涉不畅的，影响正常招标流程的。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与采购人交流、交涉不畅的，影响正常招标流程的。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成果文件的归档</w:t>
            </w: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．缺少代理合同及相关补充协议的。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．缺少最终招标文件、投标文件、评标报告及会议纪要等函件的。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履约情况</w:t>
            </w:r>
          </w:p>
        </w:tc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．未按承诺的服务响应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期限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提供服务的。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每一项一次扣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分。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．未按承诺的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计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费方案进行收费的。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．未按其它承诺执行的。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合计</w:t>
            </w:r>
          </w:p>
        </w:tc>
        <w:tc>
          <w:tcPr>
            <w:tcW w:w="7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 xml:space="preserve">考核部门：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9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PMingLiU" w:cs="宋体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考核人员：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仿宋_GB2312" w:hAnsi="仿宋" w:eastAsia="PMingLiU" w:cs="宋体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/>
              </w:rPr>
              <w:t>考核结果及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意见：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日期：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2020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XX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XX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val="zh-TW" w:eastAsia="zh-TW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OTgzNTI0MWNhYjg1ZGM2YTBmZDhiYTViNTAwNmUifQ=="/>
  </w:docVars>
  <w:rsids>
    <w:rsidRoot w:val="00000000"/>
    <w:rsid w:val="46C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2022-07-13T02:30:42Z</dcterms:created>
  <dc:creator>Lenovo</dc:creator>
  <cp:lastModifiedBy>Lenovo</cp:lastModifiedBy>
  <dcterms:modified xsi:type="dcterms:W3CDTF">2022-07-13T02:31:02Z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F47EFE4D4946463189A0C57446989E64</vt:lpwstr>
  </property>
</Properties>
</file>